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3D" w:rsidRPr="00BF72B5" w:rsidRDefault="00140D3D" w:rsidP="00BF7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 w:firstLine="284"/>
        <w:jc w:val="center"/>
        <w:rPr>
          <w:rFonts w:ascii="Marianne" w:eastAsia="Times New Roman" w:hAnsi="Marianne" w:cs="Arial"/>
          <w:b/>
          <w:sz w:val="24"/>
          <w:szCs w:val="20"/>
          <w:lang w:eastAsia="fr-FR"/>
        </w:rPr>
      </w:pPr>
      <w:r w:rsidRPr="00BF72B5">
        <w:rPr>
          <w:rFonts w:ascii="Marianne" w:eastAsia="Times New Roman" w:hAnsi="Marianne" w:cs="Arial"/>
          <w:b/>
          <w:sz w:val="24"/>
          <w:szCs w:val="20"/>
          <w:lang w:eastAsia="fr-FR"/>
        </w:rPr>
        <w:t>Les déterminants de santé</w:t>
      </w:r>
    </w:p>
    <w:p w:rsidR="00140D3D" w:rsidRPr="00BF72B5" w:rsidRDefault="00140D3D" w:rsidP="00140D3D">
      <w:pPr>
        <w:jc w:val="both"/>
        <w:rPr>
          <w:rFonts w:ascii="Marianne" w:hAnsi="Marianne"/>
          <w:noProof/>
          <w:sz w:val="20"/>
          <w:szCs w:val="20"/>
          <w:lang w:eastAsia="fr-FR"/>
        </w:rPr>
      </w:pPr>
    </w:p>
    <w:p w:rsidR="00140D3D" w:rsidRPr="00BF72B5" w:rsidRDefault="00140D3D" w:rsidP="0011636D">
      <w:pPr>
        <w:ind w:left="-284"/>
        <w:jc w:val="both"/>
        <w:rPr>
          <w:rFonts w:ascii="Marianne" w:eastAsia="Times New Roman" w:hAnsi="Marianne" w:cs="Arial"/>
          <w:sz w:val="20"/>
          <w:szCs w:val="20"/>
          <w:lang w:eastAsia="fr-FR"/>
        </w:rPr>
      </w:pPr>
      <w:bookmarkStart w:id="0" w:name="_GoBack"/>
      <w:r w:rsidRPr="00BF72B5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163701BD" wp14:editId="574A7DBC">
            <wp:extent cx="5972810" cy="3967480"/>
            <wp:effectExtent l="0" t="0" r="8890" b="0"/>
            <wp:docPr id="1" name="Image 39" descr="determinants_s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39" descr="determinants_sant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40D3D" w:rsidRPr="00BF72B5" w:rsidRDefault="00140D3D" w:rsidP="00140D3D">
      <w:pPr>
        <w:rPr>
          <w:rFonts w:ascii="Marianne" w:eastAsia="Times New Roman" w:hAnsi="Marianne" w:cs="Arial"/>
          <w:b/>
          <w:sz w:val="20"/>
          <w:szCs w:val="20"/>
          <w:lang w:eastAsia="fr-FR"/>
        </w:rPr>
      </w:pPr>
    </w:p>
    <w:p w:rsidR="00140D3D" w:rsidRPr="00BF72B5" w:rsidRDefault="00140D3D" w:rsidP="0011636D">
      <w:pPr>
        <w:ind w:left="-142"/>
        <w:jc w:val="both"/>
        <w:rPr>
          <w:rFonts w:ascii="Marianne" w:eastAsia="Times New Roman" w:hAnsi="Marianne" w:cs="Arial"/>
          <w:bCs/>
          <w:sz w:val="20"/>
          <w:szCs w:val="20"/>
          <w:lang w:eastAsia="fr-FR"/>
        </w:rPr>
      </w:pPr>
      <w:r w:rsidRPr="00BF72B5">
        <w:rPr>
          <w:rFonts w:ascii="Marianne" w:eastAsia="Times New Roman" w:hAnsi="Marianne" w:cs="Arial"/>
          <w:bCs/>
          <w:sz w:val="20"/>
          <w:szCs w:val="20"/>
          <w:lang w:eastAsia="fr-FR"/>
        </w:rPr>
        <w:t>Source</w:t>
      </w:r>
      <w:r w:rsidRPr="00BF72B5">
        <w:rPr>
          <w:rFonts w:ascii="Calibri" w:eastAsia="Times New Roman" w:hAnsi="Calibri" w:cs="Calibri"/>
          <w:bCs/>
          <w:sz w:val="20"/>
          <w:szCs w:val="20"/>
          <w:lang w:eastAsia="fr-FR"/>
        </w:rPr>
        <w:t> </w:t>
      </w:r>
      <w:r w:rsidRPr="00BF72B5">
        <w:rPr>
          <w:rFonts w:ascii="Marianne" w:eastAsia="Times New Roman" w:hAnsi="Marianne" w:cs="Arial"/>
          <w:bCs/>
          <w:sz w:val="20"/>
          <w:szCs w:val="20"/>
          <w:lang w:eastAsia="fr-FR"/>
        </w:rPr>
        <w:t xml:space="preserve">: Diagramme de </w:t>
      </w:r>
      <w:proofErr w:type="spellStart"/>
      <w:r w:rsidRPr="00BF72B5">
        <w:rPr>
          <w:rFonts w:ascii="Marianne" w:eastAsia="Times New Roman" w:hAnsi="Marianne" w:cs="Arial"/>
          <w:bCs/>
          <w:sz w:val="20"/>
          <w:szCs w:val="20"/>
          <w:lang w:eastAsia="fr-FR"/>
        </w:rPr>
        <w:t>Dalghren</w:t>
      </w:r>
      <w:proofErr w:type="spellEnd"/>
      <w:r w:rsidRPr="00BF72B5">
        <w:rPr>
          <w:rFonts w:ascii="Marianne" w:eastAsia="Times New Roman" w:hAnsi="Marianne" w:cs="Arial"/>
          <w:bCs/>
          <w:sz w:val="20"/>
          <w:szCs w:val="20"/>
          <w:lang w:eastAsia="fr-FR"/>
        </w:rPr>
        <w:t xml:space="preserve"> &amp; Whitehead, 1991</w:t>
      </w:r>
    </w:p>
    <w:p w:rsidR="00140D3D" w:rsidRPr="00BF72B5" w:rsidRDefault="00140D3D" w:rsidP="0011636D">
      <w:pPr>
        <w:ind w:left="-142"/>
        <w:jc w:val="both"/>
        <w:rPr>
          <w:rFonts w:ascii="Marianne" w:eastAsia="Times New Roman" w:hAnsi="Marianne" w:cs="Arial"/>
          <w:i/>
          <w:iCs/>
          <w:sz w:val="20"/>
          <w:szCs w:val="20"/>
          <w:lang w:eastAsia="fr-FR"/>
        </w:rPr>
      </w:pPr>
      <w:r w:rsidRPr="00BF72B5">
        <w:rPr>
          <w:rFonts w:ascii="Marianne" w:eastAsia="Times New Roman" w:hAnsi="Marianne" w:cs="Arial"/>
          <w:bCs/>
          <w:sz w:val="20"/>
          <w:szCs w:val="20"/>
          <w:lang w:eastAsia="fr-FR"/>
        </w:rPr>
        <w:t>IGAS (2011)</w:t>
      </w:r>
      <w:r w:rsidRPr="00BF72B5">
        <w:rPr>
          <w:rFonts w:ascii="Marianne" w:eastAsia="Times New Roman" w:hAnsi="Marianne" w:cs="Arial"/>
          <w:sz w:val="20"/>
          <w:szCs w:val="20"/>
          <w:lang w:eastAsia="fr-FR"/>
        </w:rPr>
        <w:t xml:space="preserve">: 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>«</w:t>
      </w:r>
      <w:r w:rsidRPr="00BF72B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 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>Les d</w:t>
      </w:r>
      <w:r w:rsidRPr="00BF72B5">
        <w:rPr>
          <w:rFonts w:ascii="Marianne" w:eastAsia="Times New Roman" w:hAnsi="Marianne" w:cs="Marianne"/>
          <w:i/>
          <w:iCs/>
          <w:sz w:val="20"/>
          <w:szCs w:val="20"/>
          <w:lang w:eastAsia="fr-FR"/>
        </w:rPr>
        <w:t>é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>terminants de la sant</w:t>
      </w:r>
      <w:r w:rsidRPr="00BF72B5">
        <w:rPr>
          <w:rFonts w:ascii="Marianne" w:eastAsia="Times New Roman" w:hAnsi="Marianne" w:cs="Marianne"/>
          <w:i/>
          <w:iCs/>
          <w:sz w:val="20"/>
          <w:szCs w:val="20"/>
          <w:lang w:eastAsia="fr-FR"/>
        </w:rPr>
        <w:t>é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 xml:space="preserve"> repr</w:t>
      </w:r>
      <w:r w:rsidRPr="00BF72B5">
        <w:rPr>
          <w:rFonts w:ascii="Marianne" w:eastAsia="Times New Roman" w:hAnsi="Marianne" w:cs="Marianne"/>
          <w:i/>
          <w:iCs/>
          <w:sz w:val="20"/>
          <w:szCs w:val="20"/>
          <w:lang w:eastAsia="fr-FR"/>
        </w:rPr>
        <w:t>é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 xml:space="preserve">sentent </w:t>
      </w:r>
      <w:r w:rsidRPr="00BF72B5">
        <w:rPr>
          <w:rFonts w:ascii="Marianne" w:eastAsia="Times New Roman" w:hAnsi="Marianne" w:cs="Arial"/>
          <w:b/>
          <w:bCs/>
          <w:i/>
          <w:iCs/>
          <w:sz w:val="20"/>
          <w:szCs w:val="20"/>
          <w:lang w:eastAsia="fr-FR"/>
        </w:rPr>
        <w:t>l’ensemble des facteurs individuels et collectifs, socio-économiques et environnementaux qui vont influencer l’ensemble des conditions de santé et de bien-être de la population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>.</w:t>
      </w:r>
      <w:r w:rsidRPr="00BF72B5">
        <w:rPr>
          <w:rFonts w:ascii="Calibri" w:eastAsia="Times New Roman" w:hAnsi="Calibri" w:cs="Calibri"/>
          <w:i/>
          <w:iCs/>
          <w:sz w:val="20"/>
          <w:szCs w:val="20"/>
          <w:lang w:eastAsia="fr-FR"/>
        </w:rPr>
        <w:t> </w:t>
      </w:r>
      <w:r w:rsidRPr="00BF72B5">
        <w:rPr>
          <w:rFonts w:ascii="Marianne" w:eastAsia="Times New Roman" w:hAnsi="Marianne" w:cs="Marianne"/>
          <w:i/>
          <w:iCs/>
          <w:sz w:val="20"/>
          <w:szCs w:val="20"/>
          <w:lang w:eastAsia="fr-FR"/>
        </w:rPr>
        <w:t>»</w:t>
      </w:r>
      <w:r w:rsidRPr="00BF72B5">
        <w:rPr>
          <w:rFonts w:ascii="Marianne" w:eastAsia="Times New Roman" w:hAnsi="Marianne" w:cs="Arial"/>
          <w:i/>
          <w:iCs/>
          <w:sz w:val="20"/>
          <w:szCs w:val="20"/>
          <w:lang w:eastAsia="fr-FR"/>
        </w:rPr>
        <w:t>).</w:t>
      </w:r>
    </w:p>
    <w:p w:rsidR="00C73D35" w:rsidRPr="00BF72B5" w:rsidRDefault="00C73D35">
      <w:pPr>
        <w:rPr>
          <w:rFonts w:ascii="Marianne" w:hAnsi="Marianne"/>
          <w:sz w:val="20"/>
          <w:szCs w:val="20"/>
        </w:rPr>
      </w:pPr>
    </w:p>
    <w:sectPr w:rsidR="00C73D35" w:rsidRPr="00BF72B5" w:rsidSect="0011636D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36D" w:rsidRDefault="0011636D" w:rsidP="0011636D">
      <w:pPr>
        <w:spacing w:after="0" w:line="240" w:lineRule="auto"/>
      </w:pPr>
      <w:r>
        <w:separator/>
      </w:r>
    </w:p>
  </w:endnote>
  <w:endnote w:type="continuationSeparator" w:id="0">
    <w:p w:rsidR="0011636D" w:rsidRDefault="0011636D" w:rsidP="0011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36D" w:rsidRDefault="0011636D" w:rsidP="0011636D">
      <w:pPr>
        <w:spacing w:after="0" w:line="240" w:lineRule="auto"/>
      </w:pPr>
      <w:r>
        <w:separator/>
      </w:r>
    </w:p>
  </w:footnote>
  <w:footnote w:type="continuationSeparator" w:id="0">
    <w:p w:rsidR="0011636D" w:rsidRDefault="0011636D" w:rsidP="0011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6D" w:rsidRDefault="0011636D">
    <w:pPr>
      <w:pStyle w:val="En-tte"/>
    </w:pPr>
    <w:r w:rsidRPr="0011636D">
      <w:drawing>
        <wp:anchor distT="0" distB="0" distL="114300" distR="114300" simplePos="0" relativeHeight="251659264" behindDoc="0" locked="0" layoutInCell="1" allowOverlap="1" wp14:anchorId="090E6478" wp14:editId="0831185A">
          <wp:simplePos x="0" y="0"/>
          <wp:positionH relativeFrom="margin">
            <wp:posOffset>-230505</wp:posOffset>
          </wp:positionH>
          <wp:positionV relativeFrom="paragraph">
            <wp:posOffset>-358527</wp:posOffset>
          </wp:positionV>
          <wp:extent cx="1350010" cy="1209675"/>
          <wp:effectExtent l="0" t="0" r="2540" b="9525"/>
          <wp:wrapNone/>
          <wp:docPr id="25" name="Image 25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90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36D">
      <w:drawing>
        <wp:anchor distT="0" distB="0" distL="114300" distR="114300" simplePos="0" relativeHeight="251660288" behindDoc="0" locked="0" layoutInCell="1" allowOverlap="1" wp14:anchorId="6E1FB8F4" wp14:editId="52075489">
          <wp:simplePos x="0" y="0"/>
          <wp:positionH relativeFrom="margin">
            <wp:posOffset>3889126</wp:posOffset>
          </wp:positionH>
          <wp:positionV relativeFrom="paragraph">
            <wp:posOffset>-408305</wp:posOffset>
          </wp:positionV>
          <wp:extent cx="1941195" cy="1370965"/>
          <wp:effectExtent l="0" t="0" r="1905" b="0"/>
          <wp:wrapNone/>
          <wp:docPr id="24" name="Image 24" descr="N:\DG-DIRECTION GENERALE\DG-COMMUNICATION\3_CHARTE_GRAPHIQUE\01_LOGOS\LOGOS_ARSN\HD\Logo_ARSN_Haute_definition\LOGOS-ARS-N-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9" descr="N:\DG-DIRECTION GENERALE\DG-COMMUNICATION\3_CHARTE_GRAPHIQUE\01_LOGOS\LOGOS_ARSN\HD\Logo_ARSN_Haute_definition\LOGOS-ARS-N-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36D" w:rsidRDefault="0011636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9HCqcBXx3Vsu1cVktj9foXlQiIyOVh//8kD9m0jjxP6t1BawnwHjQmHO2xWfDCtmgb4vBnaivxuB9Ytbmsm4g==" w:salt="KG43U9U+YkBkDT3E8xo0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3D"/>
    <w:rsid w:val="0011636D"/>
    <w:rsid w:val="00140D3D"/>
    <w:rsid w:val="002D6ADB"/>
    <w:rsid w:val="00BF72B5"/>
    <w:rsid w:val="00C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DDC94-AF09-4228-AA4D-CDF7CD3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D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36D"/>
  </w:style>
  <w:style w:type="paragraph" w:styleId="Pieddepage">
    <w:name w:val="footer"/>
    <w:basedOn w:val="Normal"/>
    <w:link w:val="PieddepageCar"/>
    <w:uiPriority w:val="99"/>
    <w:unhideWhenUsed/>
    <w:rsid w:val="0011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270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BACHELET Sandrine</dc:creator>
  <cp:lastModifiedBy>LE TALLEC, Solenn</cp:lastModifiedBy>
  <cp:revision>4</cp:revision>
  <dcterms:created xsi:type="dcterms:W3CDTF">2020-11-06T10:24:00Z</dcterms:created>
  <dcterms:modified xsi:type="dcterms:W3CDTF">2020-11-09T10:56:00Z</dcterms:modified>
</cp:coreProperties>
</file>